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09C4228" w:rsidP="3314344F" w:rsidRDefault="509C4228" w14:paraId="1E8E081A" w14:textId="336B2268">
      <w:pPr>
        <w:pStyle w:val="Heading2"/>
        <w:suppressLineNumbers w:val="0"/>
        <w:bidi w:val="0"/>
        <w:spacing w:before="299" w:beforeAutospacing="off" w:after="299" w:afterAutospacing="off" w:line="279" w:lineRule="auto"/>
        <w:ind/>
      </w:pPr>
      <w:r w:rsidRPr="3314344F" w:rsidR="509C4228">
        <w:rPr>
          <w:rFonts w:ascii="Segoe UI" w:hAnsi="Segoe UI" w:eastAsia="Segoe UI" w:cs="Segoe UI"/>
          <w:b w:val="1"/>
          <w:bCs w:val="1"/>
          <w:sz w:val="36"/>
          <w:szCs w:val="36"/>
        </w:rPr>
        <w:t>Entra Backup Campaign-in-a-Box</w:t>
      </w:r>
      <w:r w:rsidRPr="3314344F" w:rsidR="0907788F">
        <w:rPr>
          <w:rFonts w:ascii="Segoe UI" w:hAnsi="Segoe UI" w:eastAsia="Segoe UI" w:cs="Segoe UI"/>
          <w:b w:val="1"/>
          <w:bCs w:val="1"/>
          <w:sz w:val="36"/>
          <w:szCs w:val="36"/>
        </w:rPr>
        <w:t xml:space="preserve"> </w:t>
      </w:r>
      <w:r w:rsidRPr="3314344F" w:rsidR="5D189BA4">
        <w:rPr>
          <w:rFonts w:ascii="Segoe UI" w:hAnsi="Segoe UI" w:eastAsia="Segoe UI" w:cs="Segoe UI"/>
          <w:b w:val="1"/>
          <w:bCs w:val="1"/>
          <w:sz w:val="36"/>
          <w:szCs w:val="36"/>
        </w:rPr>
        <w:t>Sales Strategy Playbook</w:t>
      </w:r>
    </w:p>
    <w:p w:rsidR="5D189BA4" w:rsidP="5A8407AE" w:rsidRDefault="5D189BA4" w14:paraId="07F4C099" w14:textId="679F7EE8">
      <w:pPr>
        <w:pStyle w:val="Heading2"/>
        <w:bidi w:val="0"/>
        <w:spacing w:before="299" w:beforeAutospacing="off" w:after="299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📘 Sales Strategy Playbook: Who to Target, How to Engage</w:t>
      </w:r>
    </w:p>
    <w:p w:rsidR="5D189BA4" w:rsidP="5A8407AE" w:rsidRDefault="5D189BA4" w14:paraId="408B7E44" w14:textId="6BBF47D5">
      <w:pPr>
        <w:pStyle w:val="Heading3"/>
        <w:bidi w:val="0"/>
        <w:spacing w:before="281" w:beforeAutospacing="off" w:after="281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📌 What This Is</w:t>
      </w:r>
    </w:p>
    <w:p w:rsidR="5D189BA4" w:rsidP="5A8407AE" w:rsidRDefault="5D189BA4" w14:paraId="41D6DADC" w14:textId="4C9F92B3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playbook helps MSPs develop a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targeted outreach plan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for both current clients and new prospects. It outlines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who to prioritize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what messaging to use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and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how to approach them over the 30-day campaign period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. Because even the best campaign content won’t work without focused, intentional outreach.</w:t>
      </w:r>
    </w:p>
    <w:p w:rsidR="5A8407AE" w:rsidRDefault="5A8407AE" w14:paraId="0C1CF0D4" w14:textId="3E0AE0FD"/>
    <w:p w:rsidR="5D189BA4" w:rsidP="5A8407AE" w:rsidRDefault="5D189BA4" w14:paraId="0D7B1AFE" w14:textId="2675D7AD">
      <w:pPr>
        <w:pStyle w:val="Heading2"/>
        <w:bidi w:val="0"/>
        <w:spacing w:before="299" w:beforeAutospacing="off" w:after="299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🎯 WHO TO TARGET</w:t>
      </w:r>
    </w:p>
    <w:p w:rsidR="5D189BA4" w:rsidP="5A8407AE" w:rsidRDefault="5D189BA4" w14:paraId="681493D4" w14:textId="391CAB27">
      <w:pPr>
        <w:pStyle w:val="Heading3"/>
        <w:bidi w:val="0"/>
        <w:spacing w:before="281" w:beforeAutospacing="off" w:after="281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🔐 Current Clients (Low-Hanging Fruit)</w:t>
      </w:r>
    </w:p>
    <w:p w:rsidR="5D189BA4" w:rsidP="5A8407AE" w:rsidRDefault="5D189BA4" w14:paraId="1A513D6A" w14:textId="06FA5F07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These are clients who already trust your MSP—and where a conversation about business continuity and added protection will feel natural.</w:t>
      </w:r>
    </w:p>
    <w:p w:rsidR="5D189BA4" w:rsidP="5A8407AE" w:rsidRDefault="5D189BA4" w14:paraId="2E7B53F3" w14:textId="637E4849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Ideal Targets:</w:t>
      </w:r>
    </w:p>
    <w:p w:rsidR="5D189BA4" w:rsidP="5A8407AE" w:rsidRDefault="5D189BA4" w14:paraId="217C3118" w14:textId="6536BF78">
      <w:pPr>
        <w:pStyle w:val="ListParagraph"/>
        <w:numPr>
          <w:ilvl w:val="0"/>
          <w:numId w:val="21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Clients using Microsoft 365 (especially Business Premium)</w:t>
      </w:r>
    </w:p>
    <w:p w:rsidR="5D189BA4" w:rsidP="5A8407AE" w:rsidRDefault="5D189BA4" w14:paraId="66EB5DA4" w14:textId="3F1FD113">
      <w:pPr>
        <w:pStyle w:val="ListParagraph"/>
        <w:numPr>
          <w:ilvl w:val="0"/>
          <w:numId w:val="21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Clients in regulated industries (e.g., healthcare, legal, finance, nonprofit)</w:t>
      </w:r>
    </w:p>
    <w:p w:rsidR="5D189BA4" w:rsidP="5A8407AE" w:rsidRDefault="5D189BA4" w14:paraId="7B4C0333" w14:textId="078EACAD">
      <w:pPr>
        <w:pStyle w:val="ListParagraph"/>
        <w:numPr>
          <w:ilvl w:val="0"/>
          <w:numId w:val="21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314344F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Clients with limited </w:t>
      </w:r>
      <w:r w:rsidRPr="3314344F" w:rsidR="3D08B387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or no </w:t>
      </w:r>
      <w:r w:rsidRPr="3314344F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in-house IT </w:t>
      </w:r>
      <w:r w:rsidRPr="3314344F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expertise</w:t>
      </w:r>
    </w:p>
    <w:p w:rsidR="5D189BA4" w:rsidP="5A8407AE" w:rsidRDefault="5D189BA4" w14:paraId="273B57F2" w14:textId="75326525">
      <w:pPr>
        <w:pStyle w:val="ListParagraph"/>
        <w:numPr>
          <w:ilvl w:val="0"/>
          <w:numId w:val="21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Clients who have asked about MFA, access control, or ransomware</w:t>
      </w:r>
    </w:p>
    <w:p w:rsidR="5D189BA4" w:rsidP="5A8407AE" w:rsidRDefault="5D189BA4" w14:paraId="794323FB" w14:textId="01368000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Outreach Goal:</w:t>
      </w:r>
      <w:r>
        <w:br/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Position Entra backup as a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new layer of protection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you’re rolling out as part of your ongoing commitment to security and business continuity.</w:t>
      </w:r>
    </w:p>
    <w:p w:rsidR="5A8407AE" w:rsidRDefault="5A8407AE" w14:paraId="3A2D040F" w14:textId="015E3275"/>
    <w:p w:rsidR="5D189BA4" w:rsidP="5A8407AE" w:rsidRDefault="5D189BA4" w14:paraId="1D5D442C" w14:textId="0D16B7C6">
      <w:pPr>
        <w:pStyle w:val="Heading3"/>
        <w:bidi w:val="0"/>
        <w:spacing w:before="281" w:beforeAutospacing="off" w:after="281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👋 New Prospects (Opportunity to Differentiate)</w:t>
      </w:r>
    </w:p>
    <w:p w:rsidR="5D189BA4" w:rsidP="5A8407AE" w:rsidRDefault="5D189BA4" w14:paraId="69E6338D" w14:textId="21388153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These are leads you haven’t won yet—or may not be actively looking—but who are vulnerable to the risks Entra backup solves.</w:t>
      </w:r>
    </w:p>
    <w:p w:rsidR="5D189BA4" w:rsidP="5A8407AE" w:rsidRDefault="5D189BA4" w14:paraId="091323C2" w14:textId="69139FFD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Ideal Targets:</w:t>
      </w:r>
    </w:p>
    <w:p w:rsidR="5D189BA4" w:rsidP="5A8407AE" w:rsidRDefault="5D189BA4" w14:paraId="7EBFC1CD" w14:textId="12099400">
      <w:pPr>
        <w:pStyle w:val="ListParagraph"/>
        <w:numPr>
          <w:ilvl w:val="0"/>
          <w:numId w:val="22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Businesses with 10–200 users on M365</w:t>
      </w:r>
    </w:p>
    <w:p w:rsidR="5D189BA4" w:rsidP="5A8407AE" w:rsidRDefault="5D189BA4" w14:paraId="5F3F8BDE" w14:textId="3C7C782A">
      <w:pPr>
        <w:pStyle w:val="ListParagraph"/>
        <w:numPr>
          <w:ilvl w:val="0"/>
          <w:numId w:val="22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Companies frustrated with their current MSP or IT support</w:t>
      </w:r>
    </w:p>
    <w:p w:rsidR="5D189BA4" w:rsidP="5A8407AE" w:rsidRDefault="5D189BA4" w14:paraId="5D0F2ECF" w14:textId="7D1C75EF">
      <w:pPr>
        <w:pStyle w:val="ListParagraph"/>
        <w:numPr>
          <w:ilvl w:val="0"/>
          <w:numId w:val="22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Verticals with known compliance sensitivity (HIPAA, GDPR, FINRA)</w:t>
      </w:r>
    </w:p>
    <w:p w:rsidR="5D189BA4" w:rsidP="5A8407AE" w:rsidRDefault="5D189BA4" w14:paraId="582A790F" w14:textId="51A271A9">
      <w:pPr>
        <w:pStyle w:val="ListParagraph"/>
        <w:numPr>
          <w:ilvl w:val="0"/>
          <w:numId w:val="22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Prospects using basic backup only (email/files, not access control)</w:t>
      </w:r>
    </w:p>
    <w:p w:rsidR="5D189BA4" w:rsidP="5A8407AE" w:rsidRDefault="5D189BA4" w14:paraId="43D073B1" w14:textId="627EA361">
      <w:p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Outreach Goal:</w:t>
      </w:r>
      <w:r>
        <w:br/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Use the identity protection angle to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stand out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from other MSPs. Introduce this risk as a blind spot most providers miss—and show 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you're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thinking a step ahead.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5D189BA4" w:rsidP="5A8407AE" w:rsidRDefault="5D189BA4" w14:paraId="3C3975DA" w14:textId="579AF988">
      <w:pPr>
        <w:pStyle w:val="Heading2"/>
        <w:bidi w:val="0"/>
        <w:spacing w:before="299" w:beforeAutospacing="off" w:after="299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🗺️ HOW TO ENGAGE (Tactical Strategy)</w:t>
      </w:r>
    </w:p>
    <w:p w:rsidR="5D189BA4" w:rsidP="5A8407AE" w:rsidRDefault="5D189BA4" w14:paraId="16A93188" w14:textId="304D0BE2">
      <w:pPr>
        <w:pStyle w:val="Heading3"/>
        <w:bidi w:val="0"/>
        <w:spacing w:before="281" w:beforeAutospacing="off" w:after="281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WEEK 1–2: Education &amp; Awareness</w:t>
      </w:r>
    </w:p>
    <w:p w:rsidR="5D189BA4" w:rsidP="5A8407AE" w:rsidRDefault="5D189BA4" w14:paraId="75CCDC80" w14:textId="1B638675">
      <w:pPr>
        <w:pStyle w:val="ListParagraph"/>
        <w:numPr>
          <w:ilvl w:val="0"/>
          <w:numId w:val="23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Email #1 (Awareness): Send intro to Entra backup and the risk of access loss</w:t>
      </w:r>
    </w:p>
    <w:p w:rsidR="5D189BA4" w:rsidP="5A8407AE" w:rsidRDefault="5D189BA4" w14:paraId="72FDEA58" w14:textId="05362946">
      <w:pPr>
        <w:pStyle w:val="ListParagraph"/>
        <w:numPr>
          <w:ilvl w:val="0"/>
          <w:numId w:val="23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Social media: Share 2–3 posts from the campaign kit</w:t>
      </w:r>
    </w:p>
    <w:p w:rsidR="5D189BA4" w:rsidP="5A8407AE" w:rsidRDefault="5D189BA4" w14:paraId="339C3970" w14:textId="4E07D66F">
      <w:pPr>
        <w:pStyle w:val="ListParagraph"/>
        <w:numPr>
          <w:ilvl w:val="0"/>
          <w:numId w:val="23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Calls: Reach out to top clients and warm prospects</w:t>
      </w:r>
    </w:p>
    <w:p w:rsidR="5D189BA4" w:rsidP="5A8407AE" w:rsidRDefault="5D189BA4" w14:paraId="67076051" w14:textId="4028E88C">
      <w:pPr>
        <w:pStyle w:val="ListParagraph"/>
        <w:numPr>
          <w:ilvl w:val="0"/>
          <w:numId w:val="23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Blog: Publish the “What Happens If Your Team Gets Locked Out?” article</w:t>
      </w:r>
    </w:p>
    <w:p w:rsidR="5D189BA4" w:rsidP="5A8407AE" w:rsidRDefault="5D189BA4" w14:paraId="3C908531" w14:textId="44041502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🎯 Focus: Introduce the idea, start soft conversations, gather reactions</w:t>
      </w:r>
    </w:p>
    <w:p w:rsidR="5A8407AE" w:rsidRDefault="5A8407AE" w14:paraId="76C8456C" w14:textId="2C4B6B3D"/>
    <w:p w:rsidR="5D189BA4" w:rsidP="5A8407AE" w:rsidRDefault="5D189BA4" w14:paraId="39D5DCC6" w14:textId="76FCB955">
      <w:pPr>
        <w:pStyle w:val="Heading3"/>
        <w:bidi w:val="0"/>
        <w:spacing w:before="281" w:beforeAutospacing="off" w:after="281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WEEK 3: Follow-Up &amp; Framing Value</w:t>
      </w:r>
    </w:p>
    <w:p w:rsidR="5D189BA4" w:rsidP="5A8407AE" w:rsidRDefault="5D189BA4" w14:paraId="078A6F52" w14:textId="50AA4697">
      <w:pPr>
        <w:pStyle w:val="ListParagraph"/>
        <w:numPr>
          <w:ilvl w:val="0"/>
          <w:numId w:val="24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Email #2 (Urgency): Highlight time-sensitive risks (30-day deletion, real-world stories)</w:t>
      </w:r>
    </w:p>
    <w:p w:rsidR="5D189BA4" w:rsidP="5A8407AE" w:rsidRDefault="5D189BA4" w14:paraId="53F2F8C6" w14:textId="1E7A4ABD">
      <w:pPr>
        <w:pStyle w:val="ListParagraph"/>
        <w:numPr>
          <w:ilvl w:val="0"/>
          <w:numId w:val="24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Client QBRs or check-ins: Bring it up in strategic reviews</w:t>
      </w:r>
    </w:p>
    <w:p w:rsidR="5D189BA4" w:rsidP="5A8407AE" w:rsidRDefault="5D189BA4" w14:paraId="05FE27AE" w14:textId="5F1F1285">
      <w:pPr>
        <w:pStyle w:val="ListParagraph"/>
        <w:numPr>
          <w:ilvl w:val="0"/>
          <w:numId w:val="24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Use Case Stories: Share relevant examples tied to the client’s industry</w:t>
      </w:r>
    </w:p>
    <w:p w:rsidR="5D189BA4" w:rsidP="5A8407AE" w:rsidRDefault="5D189BA4" w14:paraId="146DB609" w14:textId="12FAA299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🎯 Focus: Frame this as a critical next step in their protection strategy</w:t>
      </w:r>
    </w:p>
    <w:p w:rsidR="5A8407AE" w:rsidRDefault="5A8407AE" w14:paraId="347BDBA7" w14:textId="0FAC7753"/>
    <w:p w:rsidR="5D189BA4" w:rsidP="5A8407AE" w:rsidRDefault="5D189BA4" w14:paraId="098750A6" w14:textId="08275425">
      <w:pPr>
        <w:pStyle w:val="Heading3"/>
        <w:bidi w:val="0"/>
        <w:spacing w:before="281" w:beforeAutospacing="off" w:after="281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WEEK 4: Closing Conversations</w:t>
      </w:r>
    </w:p>
    <w:p w:rsidR="5D189BA4" w:rsidP="5A8407AE" w:rsidRDefault="5D189BA4" w14:paraId="5544D263" w14:textId="02DB4B2B">
      <w:pPr>
        <w:pStyle w:val="ListParagraph"/>
        <w:numPr>
          <w:ilvl w:val="0"/>
          <w:numId w:val="25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Personal outreach: Follow up on clicks, opens, or past interest</w:t>
      </w:r>
    </w:p>
    <w:p w:rsidR="5D189BA4" w:rsidP="5A8407AE" w:rsidRDefault="5D189BA4" w14:paraId="085CEA14" w14:textId="0B7358EA">
      <w:pPr>
        <w:pStyle w:val="ListParagraph"/>
        <w:numPr>
          <w:ilvl w:val="0"/>
          <w:numId w:val="25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Offer to activate a </w:t>
      </w: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free NFR license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for the client’s own organization</w:t>
      </w:r>
    </w:p>
    <w:p w:rsidR="5D189BA4" w:rsidP="5A8407AE" w:rsidRDefault="5D189BA4" w14:paraId="5C4870B3" w14:textId="464C260D">
      <w:pPr>
        <w:pStyle w:val="ListParagraph"/>
        <w:numPr>
          <w:ilvl w:val="0"/>
          <w:numId w:val="25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Share a simple checklist or one-pager to support final decisions</w:t>
      </w:r>
    </w:p>
    <w:p w:rsidR="5D189BA4" w:rsidP="5A8407AE" w:rsidRDefault="5D189BA4" w14:paraId="4A58C64B" w14:textId="12C54723">
      <w:pPr>
        <w:bidi w:val="0"/>
        <w:spacing w:before="240" w:beforeAutospacing="off" w:after="240" w:afterAutospacing="off"/>
      </w:pP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>🎯 Focus: Book final discovery calls, deploy trials, and close interest into action</w:t>
      </w:r>
    </w:p>
    <w:p w:rsidR="5A8407AE" w:rsidRDefault="5A8407AE" w14:paraId="340FA6DB" w14:textId="1C28B476"/>
    <w:p w:rsidR="5D189BA4" w:rsidP="5A8407AE" w:rsidRDefault="5D189BA4" w14:paraId="023E2687" w14:textId="3BDB3301">
      <w:pPr>
        <w:pStyle w:val="Heading2"/>
        <w:bidi w:val="0"/>
        <w:spacing w:before="299" w:beforeAutospacing="off" w:after="299" w:afterAutospacing="off"/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🔧 TOOLS TO USE (From This Campaign Kit)</w:t>
      </w:r>
    </w:p>
    <w:p w:rsidR="5D189BA4" w:rsidP="5A8407AE" w:rsidRDefault="5D189BA4" w14:paraId="14642696" w14:textId="2451CA12">
      <w:pPr>
        <w:pStyle w:val="ListParagraph"/>
        <w:numPr>
          <w:ilvl w:val="0"/>
          <w:numId w:val="26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3314344F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Landing Page Template</w:t>
      </w:r>
      <w:r w:rsidRPr="3314344F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→ Central CTA</w:t>
      </w:r>
      <w:r w:rsidRPr="3314344F" w:rsidR="7BF1E37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(Call to Action)</w:t>
      </w:r>
    </w:p>
    <w:p w:rsidR="5D189BA4" w:rsidP="5A8407AE" w:rsidRDefault="5D189BA4" w14:paraId="17D814D6" w14:textId="5E71A999">
      <w:pPr>
        <w:pStyle w:val="ListParagraph"/>
        <w:numPr>
          <w:ilvl w:val="0"/>
          <w:numId w:val="26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Sales Quick Reference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→ Talk tracks</w:t>
      </w:r>
    </w:p>
    <w:p w:rsidR="5D189BA4" w:rsidP="5A8407AE" w:rsidRDefault="5D189BA4" w14:paraId="332229BB" w14:textId="6B90F848">
      <w:pPr>
        <w:pStyle w:val="ListParagraph"/>
        <w:numPr>
          <w:ilvl w:val="0"/>
          <w:numId w:val="26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Objection Guide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→ Handle resistance</w:t>
      </w:r>
    </w:p>
    <w:p w:rsidR="5D189BA4" w:rsidP="5A8407AE" w:rsidRDefault="5D189BA4" w14:paraId="3D0B6B3C" w14:textId="495B6380">
      <w:pPr>
        <w:pStyle w:val="ListParagraph"/>
        <w:numPr>
          <w:ilvl w:val="0"/>
          <w:numId w:val="26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Use Case Library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→ Add urgency with real-world relevance</w:t>
      </w:r>
    </w:p>
    <w:p w:rsidR="5D189BA4" w:rsidP="5A8407AE" w:rsidRDefault="5D189BA4" w14:paraId="73BE1E5B" w14:textId="7F65903A">
      <w:pPr>
        <w:pStyle w:val="ListParagraph"/>
        <w:numPr>
          <w:ilvl w:val="0"/>
          <w:numId w:val="26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Email Templates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→ Plug-and-play outreach</w:t>
      </w:r>
    </w:p>
    <w:p w:rsidR="5D189BA4" w:rsidP="5A8407AE" w:rsidRDefault="5D189BA4" w14:paraId="0C7D3931" w14:textId="2F37E06B">
      <w:pPr>
        <w:pStyle w:val="ListParagraph"/>
        <w:numPr>
          <w:ilvl w:val="0"/>
          <w:numId w:val="26"/>
        </w:numPr>
        <w:bidi w:val="0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A8407AE" w:rsidR="5D189BA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Social Media Posts</w:t>
      </w:r>
      <w:r w:rsidRPr="5A8407AE" w:rsidR="5D189BA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→ Keep your brand visible</w:t>
      </w:r>
    </w:p>
    <w:sectPr w:rsidRPr="00C979CF" w:rsidR="368DE388">
      <w:headerReference w:type="default" r:id="rId17"/>
      <w:footerReference w:type="default" r:id="rId18"/>
      <w:pgSz w:w="12240" w:h="15840" w:orient="portrait"/>
      <w:pgMar w:top="720" w:right="720" w:bottom="720" w:left="720" w:header="720" w:footer="720" w:gutter="0"/>
      <w:cols w:space="720"/>
      <w:docGrid w:linePitch="360"/>
      <w:titlePg w:val="1"/>
      <w:headerReference w:type="first" r:id="R4f6a5a9da4904bda"/>
      <w:footerReference w:type="first" r:id="R5ce63568e9b940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6F6" w:rsidP="00117924" w:rsidRDefault="007A76F6" w14:paraId="7454A48A" w14:textId="77777777">
      <w:pPr>
        <w:spacing w:after="0" w:line="240" w:lineRule="auto"/>
      </w:pPr>
      <w:r>
        <w:separator/>
      </w:r>
    </w:p>
  </w:endnote>
  <w:endnote w:type="continuationSeparator" w:id="0">
    <w:p w:rsidR="007A76F6" w:rsidP="00117924" w:rsidRDefault="007A76F6" w14:paraId="2667C6EB" w14:textId="77777777">
      <w:pPr>
        <w:spacing w:after="0" w:line="240" w:lineRule="auto"/>
      </w:pPr>
      <w:r>
        <w:continuationSeparator/>
      </w:r>
    </w:p>
  </w:endnote>
  <w:endnote w:type="continuationNotice" w:id="1">
    <w:p w:rsidR="007A76F6" w:rsidRDefault="007A76F6" w14:paraId="1A5827B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Sans-Serif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2055"/>
      <w:gridCol w:w="5145"/>
    </w:tblGrid>
    <w:tr w:rsidR="53582BBC" w:rsidTr="499C1553" w14:paraId="7D74B92A" w14:textId="77777777">
      <w:trPr>
        <w:trHeight w:val="525"/>
      </w:trPr>
      <w:tc>
        <w:tcPr>
          <w:tcW w:w="3600" w:type="dxa"/>
        </w:tcPr>
        <w:p w:rsidR="53582BBC" w:rsidP="53582BBC" w:rsidRDefault="499C1553" w14:paraId="5CD4DB63" w14:textId="1143254A">
          <w:pPr>
            <w:ind w:left="-115"/>
          </w:pPr>
          <w:r>
            <w:t>`</w:t>
          </w:r>
          <w:r>
            <w:rPr>
              <w:noProof/>
            </w:rPr>
            <w:drawing>
              <wp:inline distT="0" distB="0" distL="0" distR="0" wp14:anchorId="09990D32" wp14:editId="7FAD8395">
                <wp:extent cx="961717" cy="285944"/>
                <wp:effectExtent l="0" t="0" r="0" b="7620"/>
                <wp:docPr id="2085852413" name="Picture 6" descr="A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717" cy="285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5" w:type="dxa"/>
        </w:tcPr>
        <w:p w:rsidR="53582BBC" w:rsidP="53582BBC" w:rsidRDefault="53582BBC" w14:paraId="34AC9175" w14:textId="08B31202">
          <w:pPr>
            <w:jc w:val="center"/>
          </w:pPr>
        </w:p>
      </w:tc>
      <w:tc>
        <w:tcPr>
          <w:tcW w:w="5145" w:type="dxa"/>
        </w:tcPr>
        <w:p w:rsidR="53582BBC" w:rsidP="53582BBC" w:rsidRDefault="25F6DA79" w14:paraId="7EBBE0FF" w14:textId="77E6C454">
          <w:pPr>
            <w:ind w:right="-115"/>
            <w:jc w:val="right"/>
            <w:rPr>
              <w:sz w:val="18"/>
              <w:szCs w:val="18"/>
            </w:rPr>
          </w:pPr>
          <w:r>
            <w:br/>
          </w:r>
          <w:r w:rsidRPr="25F6DA79">
            <w:rPr>
              <w:sz w:val="18"/>
              <w:szCs w:val="18"/>
            </w:rPr>
            <w:t xml:space="preserve">Start Your Free 60-Day Trial at Dropsuite.com </w:t>
          </w:r>
        </w:p>
      </w:tc>
    </w:tr>
  </w:tbl>
  <w:p w:rsidR="00117924" w:rsidRDefault="00117924" w14:paraId="443CAFFE" w14:textId="6EE10400">
    <w:pPr/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314344F" w:rsidTr="3314344F" w14:paraId="6DF2C93C">
      <w:trPr>
        <w:trHeight w:val="300"/>
      </w:trPr>
      <w:tc>
        <w:tcPr>
          <w:tcW w:w="3600" w:type="dxa"/>
          <w:tcMar/>
        </w:tcPr>
        <w:p w:rsidR="3314344F" w:rsidP="3314344F" w:rsidRDefault="3314344F" w14:paraId="03D4DAE1" w14:textId="65BC6B17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3314344F" w:rsidP="3314344F" w:rsidRDefault="3314344F" w14:paraId="427995DD" w14:textId="784122E6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3314344F" w:rsidP="3314344F" w:rsidRDefault="3314344F" w14:paraId="44418617" w14:textId="12AE23C3">
          <w:pPr>
            <w:pStyle w:val="Header"/>
            <w:bidi w:val="0"/>
            <w:ind w:right="-115"/>
            <w:jc w:val="right"/>
          </w:pPr>
        </w:p>
      </w:tc>
    </w:tr>
  </w:tbl>
  <w:p w:rsidR="3314344F" w:rsidP="3314344F" w:rsidRDefault="3314344F" w14:paraId="6DF10CAC" w14:textId="5F75F9AB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6F6" w:rsidP="00117924" w:rsidRDefault="007A76F6" w14:paraId="0AD8BE5B" w14:textId="77777777">
      <w:pPr>
        <w:spacing w:after="0" w:line="240" w:lineRule="auto"/>
      </w:pPr>
      <w:r>
        <w:separator/>
      </w:r>
    </w:p>
  </w:footnote>
  <w:footnote w:type="continuationSeparator" w:id="0">
    <w:p w:rsidR="007A76F6" w:rsidP="00117924" w:rsidRDefault="007A76F6" w14:paraId="275140CA" w14:textId="77777777">
      <w:pPr>
        <w:spacing w:after="0" w:line="240" w:lineRule="auto"/>
      </w:pPr>
      <w:r>
        <w:continuationSeparator/>
      </w:r>
    </w:p>
  </w:footnote>
  <w:footnote w:type="continuationNotice" w:id="1">
    <w:p w:rsidR="007A76F6" w:rsidRDefault="007A76F6" w14:paraId="7657599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7924" w:rsidRDefault="00117924" w14:paraId="525990AB" w14:textId="783D74AE">
    <w:pPr/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3314344F" w:rsidRDefault="3314344F" w14:paraId="393648BE" w14:textId="58B3190F">
    <w:r w:rsidR="3314344F">
      <w:drawing>
        <wp:inline wp14:editId="4FB8E3A4" wp14:anchorId="0CDB030C">
          <wp:extent cx="6858000" cy="1352550"/>
          <wp:effectExtent l="0" t="0" r="0" b="0"/>
          <wp:docPr id="812366263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50bbf55b45cf4f34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5">
    <w:nsid w:val="2f49870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4">
    <w:nsid w:val="33510a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604c3c1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45844a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3d2a203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51b89a4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3f7056a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6d88974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3b300b2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880e8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3f7698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1be740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72c1c8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19a40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f42a8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517e0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2c503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cd69ec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7a3c8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2EE72D"/>
    <w:multiLevelType w:val="hybridMultilevel"/>
    <w:tmpl w:val="9E2447D2"/>
    <w:lvl w:ilvl="0" w:tplc="92123E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F69A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3409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AC6A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DA4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2E22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B6ED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5E73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26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92927B"/>
    <w:multiLevelType w:val="hybridMultilevel"/>
    <w:tmpl w:val="DEFAA2AC"/>
    <w:lvl w:ilvl="0" w:tplc="26F618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FCFB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1A5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7245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5EF1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C3B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766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0ABA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A28C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A683B"/>
    <w:multiLevelType w:val="hybridMultilevel"/>
    <w:tmpl w:val="5ACA87EA"/>
    <w:lvl w:ilvl="0" w:tplc="A5BE1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F246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AEA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7E4D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0229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602E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D4DA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5872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F016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96F364"/>
    <w:multiLevelType w:val="hybridMultilevel"/>
    <w:tmpl w:val="D1205E90"/>
    <w:lvl w:ilvl="0" w:tplc="529A7652">
      <w:start w:val="1"/>
      <w:numFmt w:val="bullet"/>
      <w:lvlText w:val=""/>
      <w:lvlJc w:val="left"/>
      <w:pPr>
        <w:ind w:left="720" w:hanging="360"/>
      </w:pPr>
      <w:rPr>
        <w:rFonts w:hint="default" w:ascii="Arial,Sans-Serif" w:hAnsi="Arial,Sans-Serif"/>
      </w:rPr>
    </w:lvl>
    <w:lvl w:ilvl="1" w:tplc="BB52DF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A035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608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CD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7E2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FEF2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561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FC1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E1FB77"/>
    <w:multiLevelType w:val="hybridMultilevel"/>
    <w:tmpl w:val="C8A620BC"/>
    <w:lvl w:ilvl="0" w:tplc="369AFFEE">
      <w:start w:val="1"/>
      <w:numFmt w:val="decimal"/>
      <w:lvlText w:val="%1."/>
      <w:lvlJc w:val="left"/>
      <w:pPr>
        <w:ind w:left="720" w:hanging="360"/>
      </w:pPr>
    </w:lvl>
    <w:lvl w:ilvl="1" w:tplc="1178AF76">
      <w:start w:val="1"/>
      <w:numFmt w:val="lowerLetter"/>
      <w:lvlText w:val="%2."/>
      <w:lvlJc w:val="left"/>
      <w:pPr>
        <w:ind w:left="1440" w:hanging="360"/>
      </w:pPr>
    </w:lvl>
    <w:lvl w:ilvl="2" w:tplc="E6A26D70">
      <w:start w:val="1"/>
      <w:numFmt w:val="lowerRoman"/>
      <w:lvlText w:val="%3."/>
      <w:lvlJc w:val="right"/>
      <w:pPr>
        <w:ind w:left="2160" w:hanging="180"/>
      </w:pPr>
    </w:lvl>
    <w:lvl w:ilvl="3" w:tplc="D50E2A02">
      <w:start w:val="1"/>
      <w:numFmt w:val="decimal"/>
      <w:lvlText w:val="%4."/>
      <w:lvlJc w:val="left"/>
      <w:pPr>
        <w:ind w:left="2880" w:hanging="360"/>
      </w:pPr>
    </w:lvl>
    <w:lvl w:ilvl="4" w:tplc="E0FEEC20">
      <w:start w:val="1"/>
      <w:numFmt w:val="lowerLetter"/>
      <w:lvlText w:val="%5."/>
      <w:lvlJc w:val="left"/>
      <w:pPr>
        <w:ind w:left="3600" w:hanging="360"/>
      </w:pPr>
    </w:lvl>
    <w:lvl w:ilvl="5" w:tplc="23CE05EE">
      <w:start w:val="1"/>
      <w:numFmt w:val="lowerRoman"/>
      <w:lvlText w:val="%6."/>
      <w:lvlJc w:val="right"/>
      <w:pPr>
        <w:ind w:left="4320" w:hanging="180"/>
      </w:pPr>
    </w:lvl>
    <w:lvl w:ilvl="6" w:tplc="D45EB16A">
      <w:start w:val="1"/>
      <w:numFmt w:val="decimal"/>
      <w:lvlText w:val="%7."/>
      <w:lvlJc w:val="left"/>
      <w:pPr>
        <w:ind w:left="5040" w:hanging="360"/>
      </w:pPr>
    </w:lvl>
    <w:lvl w:ilvl="7" w:tplc="C4F475CC">
      <w:start w:val="1"/>
      <w:numFmt w:val="lowerLetter"/>
      <w:lvlText w:val="%8."/>
      <w:lvlJc w:val="left"/>
      <w:pPr>
        <w:ind w:left="5760" w:hanging="360"/>
      </w:pPr>
    </w:lvl>
    <w:lvl w:ilvl="8" w:tplc="ACC4789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BA7B6"/>
    <w:multiLevelType w:val="hybridMultilevel"/>
    <w:tmpl w:val="3996AA6E"/>
    <w:lvl w:ilvl="0" w:tplc="AB964B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340A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ECD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3478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ECFB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B2E7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E0BB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0EE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CCC0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DCF4C0"/>
    <w:multiLevelType w:val="hybridMultilevel"/>
    <w:tmpl w:val="E4C60994"/>
    <w:lvl w:ilvl="0" w:tplc="BF4EA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6061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A26A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787F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AAD8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38A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686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5494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5AF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1" w16cid:durableId="1103495416">
    <w:abstractNumId w:val="1"/>
  </w:num>
  <w:num w:numId="2" w16cid:durableId="114103637">
    <w:abstractNumId w:val="2"/>
  </w:num>
  <w:num w:numId="3" w16cid:durableId="1364673928">
    <w:abstractNumId w:val="4"/>
  </w:num>
  <w:num w:numId="4" w16cid:durableId="94907204">
    <w:abstractNumId w:val="0"/>
  </w:num>
  <w:num w:numId="5" w16cid:durableId="1100447638">
    <w:abstractNumId w:val="6"/>
  </w:num>
  <w:num w:numId="6" w16cid:durableId="1030762121">
    <w:abstractNumId w:val="5"/>
  </w:num>
  <w:num w:numId="7" w16cid:durableId="1796366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9CADE2"/>
    <w:rsid w:val="00037729"/>
    <w:rsid w:val="000546DA"/>
    <w:rsid w:val="00065565"/>
    <w:rsid w:val="000730C9"/>
    <w:rsid w:val="0007557B"/>
    <w:rsid w:val="001168D8"/>
    <w:rsid w:val="00117924"/>
    <w:rsid w:val="00147563"/>
    <w:rsid w:val="00170C47"/>
    <w:rsid w:val="001A69D7"/>
    <w:rsid w:val="00213F19"/>
    <w:rsid w:val="002201AC"/>
    <w:rsid w:val="00235370"/>
    <w:rsid w:val="0025358F"/>
    <w:rsid w:val="0026050B"/>
    <w:rsid w:val="00262704"/>
    <w:rsid w:val="00263E2F"/>
    <w:rsid w:val="002952C6"/>
    <w:rsid w:val="002A7A01"/>
    <w:rsid w:val="002B01E4"/>
    <w:rsid w:val="002B11FB"/>
    <w:rsid w:val="002C3ECA"/>
    <w:rsid w:val="002C72FB"/>
    <w:rsid w:val="002E01BE"/>
    <w:rsid w:val="0033290B"/>
    <w:rsid w:val="00347D60"/>
    <w:rsid w:val="003558C3"/>
    <w:rsid w:val="00374565"/>
    <w:rsid w:val="003750EF"/>
    <w:rsid w:val="003A0B4A"/>
    <w:rsid w:val="003B54AD"/>
    <w:rsid w:val="003F5746"/>
    <w:rsid w:val="00453B0A"/>
    <w:rsid w:val="00455791"/>
    <w:rsid w:val="0047119F"/>
    <w:rsid w:val="004A0686"/>
    <w:rsid w:val="004A60D9"/>
    <w:rsid w:val="0051003A"/>
    <w:rsid w:val="00513C9E"/>
    <w:rsid w:val="00523156"/>
    <w:rsid w:val="0052643C"/>
    <w:rsid w:val="0053EACD"/>
    <w:rsid w:val="00555414"/>
    <w:rsid w:val="00621E21"/>
    <w:rsid w:val="00625684"/>
    <w:rsid w:val="00631F14"/>
    <w:rsid w:val="00642285"/>
    <w:rsid w:val="0066671D"/>
    <w:rsid w:val="006B2933"/>
    <w:rsid w:val="006C13F5"/>
    <w:rsid w:val="006F3678"/>
    <w:rsid w:val="007471FA"/>
    <w:rsid w:val="00761255"/>
    <w:rsid w:val="00783300"/>
    <w:rsid w:val="00794971"/>
    <w:rsid w:val="007A76F6"/>
    <w:rsid w:val="007B5883"/>
    <w:rsid w:val="00820A9C"/>
    <w:rsid w:val="008A4466"/>
    <w:rsid w:val="008F171E"/>
    <w:rsid w:val="009C6515"/>
    <w:rsid w:val="00A03CBA"/>
    <w:rsid w:val="00AB302E"/>
    <w:rsid w:val="00AC6420"/>
    <w:rsid w:val="00AF6EC9"/>
    <w:rsid w:val="00B024C6"/>
    <w:rsid w:val="00B077C9"/>
    <w:rsid w:val="00B63E6B"/>
    <w:rsid w:val="00BF241D"/>
    <w:rsid w:val="00C70D0B"/>
    <w:rsid w:val="00C979CF"/>
    <w:rsid w:val="00CA79EA"/>
    <w:rsid w:val="00D37912"/>
    <w:rsid w:val="00D90331"/>
    <w:rsid w:val="00E325F5"/>
    <w:rsid w:val="00E47837"/>
    <w:rsid w:val="00EC4E95"/>
    <w:rsid w:val="00ED6C21"/>
    <w:rsid w:val="00F31FD7"/>
    <w:rsid w:val="00F33740"/>
    <w:rsid w:val="00F66549"/>
    <w:rsid w:val="00F73A90"/>
    <w:rsid w:val="00F91A86"/>
    <w:rsid w:val="00FC5231"/>
    <w:rsid w:val="00FC7A40"/>
    <w:rsid w:val="00FE03A6"/>
    <w:rsid w:val="00FF6736"/>
    <w:rsid w:val="03CF0A24"/>
    <w:rsid w:val="04D8DDF5"/>
    <w:rsid w:val="05BA01D2"/>
    <w:rsid w:val="069DEBD0"/>
    <w:rsid w:val="08BCE3E4"/>
    <w:rsid w:val="0907788F"/>
    <w:rsid w:val="0BB4D5DB"/>
    <w:rsid w:val="0CE834C0"/>
    <w:rsid w:val="0D2E62A0"/>
    <w:rsid w:val="0D763587"/>
    <w:rsid w:val="0D8FBF9B"/>
    <w:rsid w:val="0DBFE2AC"/>
    <w:rsid w:val="0EDA29A2"/>
    <w:rsid w:val="0EDF908E"/>
    <w:rsid w:val="0F9258B6"/>
    <w:rsid w:val="10A6ADC7"/>
    <w:rsid w:val="10DD4FD4"/>
    <w:rsid w:val="11040F0D"/>
    <w:rsid w:val="122A98F0"/>
    <w:rsid w:val="14D449EB"/>
    <w:rsid w:val="14DE3ACF"/>
    <w:rsid w:val="15147B80"/>
    <w:rsid w:val="18989EC9"/>
    <w:rsid w:val="1DD394C9"/>
    <w:rsid w:val="1E2CAA0A"/>
    <w:rsid w:val="202C19D7"/>
    <w:rsid w:val="206FC803"/>
    <w:rsid w:val="20E8A3A3"/>
    <w:rsid w:val="21E144B5"/>
    <w:rsid w:val="25F6DA79"/>
    <w:rsid w:val="25F90FD9"/>
    <w:rsid w:val="2684CA11"/>
    <w:rsid w:val="26D0A1B7"/>
    <w:rsid w:val="27D90623"/>
    <w:rsid w:val="29A12746"/>
    <w:rsid w:val="29B7C974"/>
    <w:rsid w:val="2A4DBCC3"/>
    <w:rsid w:val="2CB584C3"/>
    <w:rsid w:val="2CCBDC79"/>
    <w:rsid w:val="2DEF691A"/>
    <w:rsid w:val="30FA684D"/>
    <w:rsid w:val="30FA684D"/>
    <w:rsid w:val="312F4790"/>
    <w:rsid w:val="325A992A"/>
    <w:rsid w:val="3314344F"/>
    <w:rsid w:val="347AA84E"/>
    <w:rsid w:val="368DE388"/>
    <w:rsid w:val="37D5A9FB"/>
    <w:rsid w:val="38008549"/>
    <w:rsid w:val="386A9738"/>
    <w:rsid w:val="38DF6CBA"/>
    <w:rsid w:val="3D08B387"/>
    <w:rsid w:val="3D1C9450"/>
    <w:rsid w:val="3EB51CDC"/>
    <w:rsid w:val="3EFC1C98"/>
    <w:rsid w:val="3F3EB896"/>
    <w:rsid w:val="402325F6"/>
    <w:rsid w:val="407963D3"/>
    <w:rsid w:val="4288DD99"/>
    <w:rsid w:val="42B1E05B"/>
    <w:rsid w:val="4541BDBA"/>
    <w:rsid w:val="4649FBAD"/>
    <w:rsid w:val="46EA1ABB"/>
    <w:rsid w:val="474F301F"/>
    <w:rsid w:val="47DB1A29"/>
    <w:rsid w:val="4868AF2D"/>
    <w:rsid w:val="499C1553"/>
    <w:rsid w:val="4A686158"/>
    <w:rsid w:val="4B1F03A7"/>
    <w:rsid w:val="4B981B2A"/>
    <w:rsid w:val="4CC32D9E"/>
    <w:rsid w:val="4EAB3E5B"/>
    <w:rsid w:val="4F45441A"/>
    <w:rsid w:val="509C4228"/>
    <w:rsid w:val="51A9E83F"/>
    <w:rsid w:val="51B08347"/>
    <w:rsid w:val="523B2DCA"/>
    <w:rsid w:val="52841512"/>
    <w:rsid w:val="52CD5967"/>
    <w:rsid w:val="53582BBC"/>
    <w:rsid w:val="5435ED32"/>
    <w:rsid w:val="54C03900"/>
    <w:rsid w:val="5526EFFB"/>
    <w:rsid w:val="5531F9A7"/>
    <w:rsid w:val="571825F7"/>
    <w:rsid w:val="57DBE635"/>
    <w:rsid w:val="584E5272"/>
    <w:rsid w:val="589DD53F"/>
    <w:rsid w:val="5951B0A4"/>
    <w:rsid w:val="5A29BBE3"/>
    <w:rsid w:val="5A8407AE"/>
    <w:rsid w:val="5B073914"/>
    <w:rsid w:val="5B94D0E6"/>
    <w:rsid w:val="5BEF49FB"/>
    <w:rsid w:val="5CB75D2A"/>
    <w:rsid w:val="5D189BA4"/>
    <w:rsid w:val="5D6376D6"/>
    <w:rsid w:val="5DA71678"/>
    <w:rsid w:val="5EEEDB55"/>
    <w:rsid w:val="5EF289C4"/>
    <w:rsid w:val="5F67C7C8"/>
    <w:rsid w:val="5FA72823"/>
    <w:rsid w:val="60EC813A"/>
    <w:rsid w:val="62380B2E"/>
    <w:rsid w:val="63243EDD"/>
    <w:rsid w:val="63DEFBDC"/>
    <w:rsid w:val="63E2B78E"/>
    <w:rsid w:val="649CADE2"/>
    <w:rsid w:val="64B43BAC"/>
    <w:rsid w:val="66B9536D"/>
    <w:rsid w:val="69EA0361"/>
    <w:rsid w:val="6A30B59D"/>
    <w:rsid w:val="6C9AFEDA"/>
    <w:rsid w:val="6CAC0858"/>
    <w:rsid w:val="6D1502B2"/>
    <w:rsid w:val="6D9968EC"/>
    <w:rsid w:val="6DC08219"/>
    <w:rsid w:val="6EF1FDA5"/>
    <w:rsid w:val="71D6D7BC"/>
    <w:rsid w:val="74D4A1A9"/>
    <w:rsid w:val="74EE4961"/>
    <w:rsid w:val="7618160E"/>
    <w:rsid w:val="76A0047B"/>
    <w:rsid w:val="7940513B"/>
    <w:rsid w:val="7A3D073D"/>
    <w:rsid w:val="7B6CE7D4"/>
    <w:rsid w:val="7BE4D3B5"/>
    <w:rsid w:val="7BF1E37C"/>
    <w:rsid w:val="7C39E332"/>
    <w:rsid w:val="7C554534"/>
    <w:rsid w:val="7C71F095"/>
    <w:rsid w:val="7CD35159"/>
    <w:rsid w:val="7D890DBF"/>
    <w:rsid w:val="7DF950CD"/>
    <w:rsid w:val="7E99B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ADE2"/>
  <w15:chartTrackingRefBased/>
  <w15:docId w15:val="{1103C662-3DA7-40CB-B824-46ABD0B1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531F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531F9A7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3300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F14"/>
    <w:rPr>
      <w:color w:val="605E5C"/>
      <w:shd w:val="clear" w:color="auto" w:fill="E1DFDD"/>
    </w:rPr>
  </w:style>
  <w:style w:type="paragraph" w:styleId="Header">
    <w:uiPriority w:val="99"/>
    <w:name w:val="header"/>
    <w:basedOn w:val="Normal"/>
    <w:unhideWhenUsed/>
    <w:rsid w:val="3314344F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3314344F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4f6a5a9da4904bda" /><Relationship Type="http://schemas.openxmlformats.org/officeDocument/2006/relationships/footer" Target="footer2.xml" Id="R5ce63568e9b94031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50bbf55b45cf4f3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895F898EC3643AC7FCA07C700C05B" ma:contentTypeVersion="16" ma:contentTypeDescription="Create a new document." ma:contentTypeScope="" ma:versionID="b3c11d94ed18604bda0a299713f880fd">
  <xsd:schema xmlns:xsd="http://www.w3.org/2001/XMLSchema" xmlns:xs="http://www.w3.org/2001/XMLSchema" xmlns:p="http://schemas.microsoft.com/office/2006/metadata/properties" xmlns:ns2="620f30dd-32c1-4a3e-9524-4d9f028d604e" xmlns:ns3="408ee824-c55b-4cb7-8dcd-8f085745c45c" targetNamespace="http://schemas.microsoft.com/office/2006/metadata/properties" ma:root="true" ma:fieldsID="5f7ab8b90613cc710a853c4e38fc2c4b" ns2:_="" ns3:_="">
    <xsd:import namespace="620f30dd-32c1-4a3e-9524-4d9f028d604e"/>
    <xsd:import namespace="408ee824-c55b-4cb7-8dcd-8f085745c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f30dd-32c1-4a3e-9524-4d9f028d6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7a42434-a87b-43c5-a670-26f984dc3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ee824-c55b-4cb7-8dcd-8f085745c45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6d31a2b-bed5-426d-904d-d78a27e95951}" ma:internalName="TaxCatchAll" ma:showField="CatchAllData" ma:web="408ee824-c55b-4cb7-8dcd-8f085745c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0f30dd-32c1-4a3e-9524-4d9f028d604e">
      <Terms xmlns="http://schemas.microsoft.com/office/infopath/2007/PartnerControls"/>
    </lcf76f155ced4ddcb4097134ff3c332f>
    <TaxCatchAll xmlns="408ee824-c55b-4cb7-8dcd-8f085745c4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6A31B-346C-4BB1-B4E4-0CB4F34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f30dd-32c1-4a3e-9524-4d9f028d604e"/>
    <ds:schemaRef ds:uri="408ee824-c55b-4cb7-8dcd-8f085745c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E55CA9-22F2-48A9-8B31-AC07FCC4A26E}">
  <ds:schemaRefs>
    <ds:schemaRef ds:uri="http://schemas.microsoft.com/office/2006/metadata/properties"/>
    <ds:schemaRef ds:uri="http://schemas.microsoft.com/office/infopath/2007/PartnerControls"/>
    <ds:schemaRef ds:uri="620f30dd-32c1-4a3e-9524-4d9f028d604e"/>
    <ds:schemaRef ds:uri="408ee824-c55b-4cb7-8dcd-8f085745c45c"/>
  </ds:schemaRefs>
</ds:datastoreItem>
</file>

<file path=customXml/itemProps3.xml><?xml version="1.0" encoding="utf-8"?>
<ds:datastoreItem xmlns:ds="http://schemas.openxmlformats.org/officeDocument/2006/customXml" ds:itemID="{E4270FC2-068E-48D0-B254-4986248E40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Katy Snyder</dc:creator>
  <keywords/>
  <dc:description/>
  <lastModifiedBy>Katy Snyder</lastModifiedBy>
  <revision>39</revision>
  <dcterms:created xsi:type="dcterms:W3CDTF">2025-02-20T02:44:00.0000000Z</dcterms:created>
  <dcterms:modified xsi:type="dcterms:W3CDTF">2025-04-14T22:12:15.5742421Z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0x010100617895F898EC3643AC7FCA07C700C05B</vt:lpwstr>
  </property>
  <property fmtid="{D5CDD505-2E9C-101B-9397-08002B2CF9AE}" pid="3" name="MediaServiceImageTags">
    <vt:lpwstr/>
  </property>
</Properties>
</file>